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C1" w:rsidRDefault="00237EC1" w:rsidP="0015322C"/>
    <w:p w:rsidR="0015322C" w:rsidRDefault="008645EF" w:rsidP="008645E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EXCELENTÍSSIMO JUIZ</w:t>
      </w:r>
      <w:proofErr w:type="gramEnd"/>
      <w:r>
        <w:rPr>
          <w:rFonts w:ascii="Arial" w:hAnsi="Arial" w:cs="Arial"/>
          <w:sz w:val="24"/>
          <w:szCs w:val="24"/>
        </w:rPr>
        <w:t xml:space="preserve"> DE DIREITO E DIRET</w:t>
      </w:r>
      <w:r w:rsidR="00C92C51">
        <w:rPr>
          <w:rFonts w:ascii="Arial" w:hAnsi="Arial" w:cs="Arial"/>
          <w:sz w:val="24"/>
          <w:szCs w:val="24"/>
        </w:rPr>
        <w:t>OR DO FÓRUM DA COMARCA DE XXXXXXX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– MT.</w:t>
      </w:r>
    </w:p>
    <w:p w:rsidR="00661B1F" w:rsidRPr="0015322C" w:rsidRDefault="00603653" w:rsidP="0015322C">
      <w:r w:rsidRPr="000D0654">
        <w:rPr>
          <w:rFonts w:ascii="Arial" w:hAnsi="Arial" w:cs="Arial"/>
          <w:sz w:val="24"/>
          <w:szCs w:val="24"/>
        </w:rPr>
        <w:t xml:space="preserve"> </w:t>
      </w:r>
    </w:p>
    <w:p w:rsidR="00661B1F" w:rsidRPr="006C3AAB" w:rsidRDefault="001A2841" w:rsidP="00661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REF. OFÍCIO N.º </w:t>
      </w:r>
      <w:proofErr w:type="spellStart"/>
      <w:r w:rsidR="008645EF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/2019</w:t>
      </w:r>
      <w:r w:rsidR="00661B1F" w:rsidRPr="006C3AAB">
        <w:rPr>
          <w:rFonts w:ascii="Arial" w:hAnsi="Arial" w:cs="Arial"/>
        </w:rPr>
        <w:t>.</w:t>
      </w:r>
    </w:p>
    <w:p w:rsidR="00661B1F" w:rsidRPr="006C3AAB" w:rsidRDefault="00661B1F" w:rsidP="000D0654">
      <w:pPr>
        <w:tabs>
          <w:tab w:val="left" w:pos="1890"/>
        </w:tabs>
        <w:jc w:val="both"/>
        <w:rPr>
          <w:rFonts w:ascii="Arial" w:hAnsi="Arial" w:cs="Arial"/>
        </w:rPr>
      </w:pPr>
      <w:r w:rsidRPr="006C3AAB">
        <w:rPr>
          <w:rFonts w:ascii="Arial" w:hAnsi="Arial" w:cs="Arial"/>
        </w:rPr>
        <w:tab/>
      </w:r>
    </w:p>
    <w:p w:rsidR="001A2841" w:rsidRDefault="008645E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proofErr w:type="spellStart"/>
      <w:r>
        <w:rPr>
          <w:rFonts w:eastAsia="Garamond"/>
          <w:b/>
        </w:rPr>
        <w:t>xxxxxxxxx</w:t>
      </w:r>
      <w:proofErr w:type="spellEnd"/>
      <w:r w:rsidR="001A2841">
        <w:rPr>
          <w:rFonts w:eastAsia="Garamond"/>
          <w:b/>
        </w:rPr>
        <w:t xml:space="preserve">, </w:t>
      </w:r>
      <w:r w:rsidR="001A2841">
        <w:rPr>
          <w:rFonts w:eastAsia="Garamond"/>
        </w:rPr>
        <w:t xml:space="preserve">Oficial de Justiça, </w:t>
      </w:r>
      <w:proofErr w:type="spellStart"/>
      <w:r w:rsidR="001A2841">
        <w:rPr>
          <w:rFonts w:eastAsia="Garamond"/>
        </w:rPr>
        <w:t>matr</w:t>
      </w:r>
      <w:proofErr w:type="spellEnd"/>
      <w:r w:rsidR="001A2841">
        <w:rPr>
          <w:rFonts w:eastAsia="Garamond"/>
        </w:rPr>
        <w:t xml:space="preserve">. </w:t>
      </w:r>
      <w:proofErr w:type="spellStart"/>
      <w:r>
        <w:rPr>
          <w:rFonts w:eastAsia="Garamond"/>
        </w:rPr>
        <w:t>xxxx</w:t>
      </w:r>
      <w:r w:rsidR="001A2841">
        <w:rPr>
          <w:rFonts w:eastAsia="Garamond"/>
        </w:rPr>
        <w:t>e</w:t>
      </w:r>
      <w:proofErr w:type="spellEnd"/>
      <w:r w:rsidR="001A2841">
        <w:rPr>
          <w:rFonts w:eastAsia="Garamond"/>
        </w:rPr>
        <w:t xml:space="preserve"> </w:t>
      </w:r>
      <w:proofErr w:type="spellStart"/>
      <w:r>
        <w:rPr>
          <w:rFonts w:eastAsia="Garamond"/>
          <w:b/>
        </w:rPr>
        <w:t>xxxxxxxxxx</w:t>
      </w:r>
      <w:proofErr w:type="spellEnd"/>
      <w:r w:rsidR="001A2841">
        <w:rPr>
          <w:rFonts w:eastAsia="Garamond"/>
          <w:b/>
        </w:rPr>
        <w:t xml:space="preserve">, </w:t>
      </w:r>
      <w:r w:rsidR="001A2841">
        <w:rPr>
          <w:rFonts w:eastAsia="Garamond"/>
        </w:rPr>
        <w:t xml:space="preserve">Oficial de Justiça, </w:t>
      </w:r>
      <w:proofErr w:type="spellStart"/>
      <w:r w:rsidR="001A2841">
        <w:rPr>
          <w:rFonts w:eastAsia="Garamond"/>
        </w:rPr>
        <w:t>matr</w:t>
      </w:r>
      <w:proofErr w:type="spellEnd"/>
      <w:r w:rsidR="001A2841">
        <w:rPr>
          <w:rFonts w:eastAsia="Garamond"/>
        </w:rPr>
        <w:t xml:space="preserve">. </w:t>
      </w:r>
      <w:proofErr w:type="spellStart"/>
      <w:r>
        <w:rPr>
          <w:rFonts w:eastAsia="Garamond"/>
        </w:rPr>
        <w:t>xxxx</w:t>
      </w:r>
      <w:proofErr w:type="spellEnd"/>
      <w:r w:rsidR="001A2841">
        <w:rPr>
          <w:rFonts w:eastAsia="Garamond"/>
        </w:rPr>
        <w:t xml:space="preserve">, ambos lotados na Central de Mandados do Fórum de Cuiabá – MT, vem por meio desta apresentar a resposta ao pedido formulado pelo Juiz titular deste respectivo Juízo Especializado, via Ofício n.º </w:t>
      </w:r>
      <w:r>
        <w:rPr>
          <w:rFonts w:eastAsia="Garamond"/>
        </w:rPr>
        <w:t>xxxx</w:t>
      </w:r>
      <w:r w:rsidR="001A2841">
        <w:rPr>
          <w:rFonts w:eastAsia="Garamond"/>
        </w:rPr>
        <w:t>2019.</w:t>
      </w: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DOS FATOS:</w:t>
      </w: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8645E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RELATAR FATOS CONFORME SOLICITA O JUIZ DO FEITO OU DIRETORIA DO FÓRUM</w:t>
      </w:r>
    </w:p>
    <w:p w:rsidR="008645EF" w:rsidRDefault="008645E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DO DIREITO: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Antes de mais nada, devemos nos atentar o que o Oficial de Justiça é cumpridor exclusivamente de determinações judiciais e que mais de 90% delas são deveras conflituosas, pois, as partes consensualmente não </w:t>
      </w:r>
      <w:r>
        <w:rPr>
          <w:rFonts w:eastAsia="Garamond"/>
          <w:b/>
        </w:rPr>
        <w:t xml:space="preserve">conseguiram de forma livre chegarem a uma conclusão consensual. </w:t>
      </w:r>
      <w:r>
        <w:rPr>
          <w:rFonts w:eastAsia="Garamond"/>
        </w:rPr>
        <w:t>A partir deste ponto, as materializações da ficção jurídica proferida pelo juízo competente, são concretizadas cotidianamente por esta categoria no exercício de sua função.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Dentre estas decisões, existem as prisões, contrições, expropriações, despejos, separação de corpos, que são atos onde o executor corre iminente risco a sua integridade física e inclusive a sua vida. 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F2726" w:rsidRPr="00904BF0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  <w:b/>
        </w:rPr>
      </w:pPr>
      <w:r>
        <w:rPr>
          <w:rFonts w:eastAsia="Garamond"/>
        </w:rPr>
        <w:t xml:space="preserve">Ainda podemos mencionar os atos de comunicação que são em tese atos de menor risco, </w:t>
      </w:r>
      <w:r>
        <w:rPr>
          <w:rFonts w:eastAsia="Garamond"/>
          <w:b/>
          <w:u w:val="single"/>
        </w:rPr>
        <w:t>“LEDO ENGANO”...</w:t>
      </w:r>
      <w:r>
        <w:rPr>
          <w:rFonts w:eastAsia="Garamond"/>
        </w:rPr>
        <w:t xml:space="preserve"> </w:t>
      </w:r>
      <w:r>
        <w:rPr>
          <w:rFonts w:eastAsia="Garamond"/>
          <w:b/>
        </w:rPr>
        <w:t xml:space="preserve"> </w:t>
      </w:r>
      <w:r>
        <w:rPr>
          <w:rFonts w:eastAsia="Garamond"/>
        </w:rPr>
        <w:t>Hoje, a simples entrada em bairros e zonas suburbanas são controladas pelas ditas “</w:t>
      </w:r>
      <w:r>
        <w:rPr>
          <w:rFonts w:eastAsia="Garamond"/>
          <w:b/>
          <w:u w:val="single"/>
        </w:rPr>
        <w:t>facções”</w:t>
      </w:r>
      <w:r w:rsidR="00FA3CF3">
        <w:rPr>
          <w:rFonts w:eastAsia="Garamond"/>
        </w:rPr>
        <w:t xml:space="preserve"> </w:t>
      </w:r>
      <w:r>
        <w:rPr>
          <w:rFonts w:eastAsia="Garamond"/>
        </w:rPr>
        <w:t xml:space="preserve">que mapeiam a entrada e saída de pessoas e, muitas vezes os Oficiais de Justiça são abordados e monitorados dentro destes perímetros. </w:t>
      </w:r>
      <w:r w:rsidR="001F2726">
        <w:rPr>
          <w:rFonts w:eastAsia="Garamond"/>
        </w:rPr>
        <w:t>Gr</w:t>
      </w:r>
      <w:r w:rsidR="00C92C51">
        <w:rPr>
          <w:rFonts w:eastAsia="Garamond"/>
        </w:rPr>
        <w:t>aças</w:t>
      </w:r>
      <w:r w:rsidR="001F2726">
        <w:rPr>
          <w:rFonts w:eastAsia="Garamond"/>
        </w:rPr>
        <w:t xml:space="preserve"> ao compartilhamento de informações, faço anexar certidão do Oficial de</w:t>
      </w:r>
      <w:r w:rsidR="00C92C51">
        <w:rPr>
          <w:rFonts w:eastAsia="Garamond"/>
        </w:rPr>
        <w:t xml:space="preserve"> Justiça </w:t>
      </w:r>
      <w:proofErr w:type="spellStart"/>
      <w:r w:rsidR="00C92C51">
        <w:rPr>
          <w:rFonts w:eastAsia="Garamond"/>
        </w:rPr>
        <w:t>xxxxxxxxx</w:t>
      </w:r>
      <w:proofErr w:type="spellEnd"/>
      <w:r w:rsidR="001F2726">
        <w:rPr>
          <w:rFonts w:eastAsia="Garamond"/>
        </w:rPr>
        <w:t xml:space="preserve">, que transcreveu em certidão os momentos de </w:t>
      </w:r>
      <w:r w:rsidR="001F2726">
        <w:rPr>
          <w:rFonts w:eastAsia="Garamond"/>
        </w:rPr>
        <w:lastRenderedPageBreak/>
        <w:t xml:space="preserve">pânico que passou no </w:t>
      </w:r>
      <w:r w:rsidR="001F2726" w:rsidRPr="00904BF0">
        <w:rPr>
          <w:rFonts w:eastAsia="Garamond"/>
          <w:b/>
        </w:rPr>
        <w:t>“simples cumprimento de um ato de comunicação criminal”, mandado expedido pelo Juíz</w:t>
      </w:r>
      <w:r w:rsidR="00C92C51">
        <w:rPr>
          <w:rFonts w:eastAsia="Garamond"/>
          <w:b/>
        </w:rPr>
        <w:t xml:space="preserve">o da </w:t>
      </w:r>
      <w:proofErr w:type="spellStart"/>
      <w:r w:rsidR="00C92C51">
        <w:rPr>
          <w:rFonts w:eastAsia="Garamond"/>
          <w:b/>
        </w:rPr>
        <w:t>xxxxxx</w:t>
      </w:r>
      <w:proofErr w:type="spellEnd"/>
      <w:r w:rsidR="001F2726" w:rsidRPr="00904BF0">
        <w:rPr>
          <w:rFonts w:eastAsia="Garamond"/>
          <w:b/>
        </w:rPr>
        <w:t xml:space="preserve"> Vara Criminal de Cuiab</w:t>
      </w:r>
      <w:r w:rsidR="00C92C51">
        <w:rPr>
          <w:rFonts w:eastAsia="Garamond"/>
          <w:b/>
        </w:rPr>
        <w:t xml:space="preserve">á, Processo de código </w:t>
      </w:r>
      <w:proofErr w:type="gramStart"/>
      <w:r w:rsidR="00C92C51">
        <w:rPr>
          <w:rFonts w:eastAsia="Garamond"/>
          <w:b/>
        </w:rPr>
        <w:t>n.º</w:t>
      </w:r>
      <w:proofErr w:type="gramEnd"/>
      <w:r w:rsidR="00C92C51">
        <w:rPr>
          <w:rFonts w:eastAsia="Garamond"/>
          <w:b/>
        </w:rPr>
        <w:t xml:space="preserve"> </w:t>
      </w:r>
      <w:proofErr w:type="spellStart"/>
      <w:r w:rsidR="00C92C51">
        <w:rPr>
          <w:rFonts w:eastAsia="Garamond"/>
          <w:b/>
        </w:rPr>
        <w:t>xxxx</w:t>
      </w:r>
      <w:proofErr w:type="spellEnd"/>
      <w:r w:rsidR="001F2726" w:rsidRPr="00904BF0">
        <w:rPr>
          <w:rFonts w:eastAsia="Garamond"/>
          <w:b/>
        </w:rPr>
        <w:t xml:space="preserve"> (EM ANEXO)</w:t>
      </w:r>
      <w:r w:rsidR="00904BF0">
        <w:rPr>
          <w:rFonts w:eastAsia="Garamond"/>
          <w:b/>
        </w:rPr>
        <w:t>”.</w:t>
      </w:r>
    </w:p>
    <w:p w:rsidR="001F2726" w:rsidRDefault="001F2726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Default="001F2726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Outros inúmeros casos de atentados contra a vida dos Oficiais de Justiça são acometidos diariamente, porém, de forma silenciosa. Fi</w:t>
      </w:r>
      <w:r w:rsidR="003B7CCF">
        <w:rPr>
          <w:rFonts w:eastAsia="Garamond"/>
        </w:rPr>
        <w:t>zemos</w:t>
      </w:r>
      <w:r>
        <w:rPr>
          <w:rFonts w:eastAsia="Garamond"/>
        </w:rPr>
        <w:t xml:space="preserve"> uma pesquisa sobre</w:t>
      </w:r>
      <w:r w:rsidR="003B7CCF">
        <w:rPr>
          <w:rFonts w:eastAsia="Garamond"/>
        </w:rPr>
        <w:t xml:space="preserve"> ataques e mortes e </w:t>
      </w:r>
      <w:r>
        <w:rPr>
          <w:rFonts w:eastAsia="Garamond"/>
        </w:rPr>
        <w:t>inclusive</w:t>
      </w:r>
      <w:r w:rsidR="003B7CCF">
        <w:rPr>
          <w:rFonts w:eastAsia="Garamond"/>
        </w:rPr>
        <w:t xml:space="preserve"> encontramos</w:t>
      </w:r>
      <w:r>
        <w:rPr>
          <w:rFonts w:eastAsia="Garamond"/>
        </w:rPr>
        <w:t xml:space="preserve"> um óbito de uma Oficial de Justiça </w:t>
      </w:r>
      <w:r w:rsidR="003B7CCF">
        <w:rPr>
          <w:rFonts w:eastAsia="Garamond"/>
        </w:rPr>
        <w:t>no Estado de São Paulo, conforme trecho didático da reportagem:</w:t>
      </w: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Default="003B7CCF" w:rsidP="003B7CCF">
      <w:pPr>
        <w:pStyle w:val="Normal1"/>
        <w:spacing w:line="360" w:lineRule="auto"/>
        <w:jc w:val="both"/>
        <w:rPr>
          <w:rFonts w:eastAsia="Garamond"/>
          <w:b/>
          <w:bCs/>
          <w:i/>
          <w:u w:val="single"/>
        </w:rPr>
      </w:pPr>
      <w:r w:rsidRPr="003B7CCF">
        <w:rPr>
          <w:rFonts w:eastAsia="Garamond"/>
          <w:b/>
          <w:bCs/>
          <w:i/>
          <w:u w:val="single"/>
        </w:rPr>
        <w:t>SP - SÃO PAULO</w:t>
      </w:r>
    </w:p>
    <w:p w:rsidR="003B7CCF" w:rsidRPr="003B7CCF" w:rsidRDefault="003B7CCF" w:rsidP="003B7CCF">
      <w:pPr>
        <w:pStyle w:val="Normal1"/>
        <w:spacing w:line="360" w:lineRule="auto"/>
        <w:jc w:val="both"/>
        <w:rPr>
          <w:rFonts w:eastAsia="Garamond"/>
          <w:i/>
          <w:u w:val="single"/>
        </w:rPr>
      </w:pPr>
    </w:p>
    <w:p w:rsidR="003B7CCF" w:rsidRDefault="003B7CCF" w:rsidP="003B7CCF">
      <w:pPr>
        <w:pStyle w:val="Normal1"/>
        <w:spacing w:line="360" w:lineRule="auto"/>
        <w:jc w:val="both"/>
        <w:rPr>
          <w:rFonts w:eastAsia="Garamond"/>
          <w:b/>
          <w:bCs/>
          <w:i/>
          <w:u w:val="single"/>
        </w:rPr>
      </w:pPr>
      <w:r w:rsidRPr="003B7CCF">
        <w:rPr>
          <w:rFonts w:eastAsia="Garamond"/>
          <w:b/>
          <w:bCs/>
          <w:i/>
          <w:u w:val="single"/>
        </w:rPr>
        <w:t>BUSCA E APREENSÃO: OFICIALA É EXECUTADA COM 8 TIROS</w:t>
      </w:r>
    </w:p>
    <w:p w:rsidR="003B7CCF" w:rsidRPr="003B7CCF" w:rsidRDefault="003B7CCF" w:rsidP="003B7CCF">
      <w:pPr>
        <w:pStyle w:val="Normal1"/>
        <w:spacing w:line="360" w:lineRule="auto"/>
        <w:jc w:val="both"/>
        <w:rPr>
          <w:rFonts w:eastAsia="Garamond"/>
          <w:i/>
          <w:sz w:val="18"/>
          <w:szCs w:val="18"/>
          <w:u w:val="single"/>
        </w:rPr>
      </w:pPr>
    </w:p>
    <w:p w:rsidR="003B7CCF" w:rsidRPr="003B7CCF" w:rsidRDefault="003B7CCF" w:rsidP="003B7CCF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  <w:u w:val="single"/>
        </w:rPr>
      </w:pPr>
      <w:r w:rsidRPr="003B7CCF">
        <w:rPr>
          <w:rFonts w:eastAsia="Garamond"/>
          <w:i/>
          <w:sz w:val="18"/>
          <w:szCs w:val="18"/>
          <w:u w:val="single"/>
        </w:rPr>
        <w:t xml:space="preserve">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 de Justiça Sandra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Sesmanioto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, 48 anos de idade, dos quais vinte dedicados ao Judiciário do Estado de São Paulo, saiu em diligência há pouco mais de um mês para efetuar um mandado de busca e apreensão de uma motocicleta, na Zona Sul da cidade de São Paulo. À disposição dos oficiais sempre está uma patrulha da Polícia Militar para dar apoio em situações de “ameaça” prevista, como reintegração de posse ou atuação em áreas de “risco”, como favelas e pontos conhecidos em que o crime predomina. Como o caso não envolvia nenhuma dessas hipóteses, Sandra dispensou cobertura policial. Além da PM, o trabalho dos oficiais recebe o “apoio” de um agente que atua a mando de bancos – credores – que desejam que os bens para penhora sejam encontrados para pagamento da dívida. Estes agentes, vulgarmente chamados de “localizadores”, costumam chegar ao local bem antes dos oficiais, indicando a eles, por telefone, o paradeiro do objeto da busca. Porém, dessa vez, Sandra encontrou o endereço primeiro nas imediações do Jardim São Luiz, bairro que registra um dos índices de criminalidade mais altos da cidade e é notoriamente afamado por ter o maior cemitério de indigentes da América Latina. Localizou a casa do citado na petição, parou o carro, tocou a campainha. “Senhor, eu vim cumprir um mandado de busca e apreensão da moto que está em seu nome”, comunicou sua intenção. O homem não manifestou qualquer resistência ou sentimento de estorvo. Concordou em entregar a moto, mas pediu que 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 aguardasse enquanto ele pegava as chaves do portão. 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, que em anos de profissão já viu gente se estrebuchar de tanto choro por causa de carros e bens, certamente deve ter estranhado a placidez e gentileza do homem, mas acatou e voltou para seu automóvel. Viu ainda o agente chegar, parando imediatamente atrás dela. Como o conhecia, acenou e disse que já não precisava mais de sua ajuda, a diligência estava quase terminada. Dentro de seu veículo, 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 ajeita os papéis que o intimado deve assinar. Com o canto esquerdo do olho percebe que o homem se aproxima de sua janela. Ele ergue o 38 na altura do rosto de Sandra e dispara uma, duas, três, quatro – 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 cai em cima do banco direito – cinco vezes. O homem bate a arma em sua </w:t>
      </w:r>
      <w:r w:rsidRPr="003B7CCF">
        <w:rPr>
          <w:rFonts w:eastAsia="Garamond"/>
          <w:i/>
          <w:sz w:val="18"/>
          <w:szCs w:val="18"/>
          <w:u w:val="single"/>
        </w:rPr>
        <w:lastRenderedPageBreak/>
        <w:t xml:space="preserve">perna para abrir o tambor quente, por ter intimidade com o 38, sabia que tocá-lo seria burrice, lhe queimaria as mãos. As cápsulas vazias caem e tilintam no asfalto. Ele apalpa os bolsos a procura de mais balas, encontra. Enfia três no revólver e descarrega sobre a </w:t>
      </w:r>
      <w:proofErr w:type="spellStart"/>
      <w:r w:rsidRPr="003B7CCF">
        <w:rPr>
          <w:rFonts w:eastAsia="Garamond"/>
          <w:i/>
          <w:sz w:val="18"/>
          <w:szCs w:val="18"/>
          <w:u w:val="single"/>
        </w:rPr>
        <w:t>Oficiala</w:t>
      </w:r>
      <w:proofErr w:type="spellEnd"/>
      <w:r w:rsidRPr="003B7CCF">
        <w:rPr>
          <w:rFonts w:eastAsia="Garamond"/>
          <w:i/>
          <w:sz w:val="18"/>
          <w:szCs w:val="18"/>
          <w:u w:val="single"/>
        </w:rPr>
        <w:t xml:space="preserve">. O localizador, que assistiu </w:t>
      </w:r>
      <w:proofErr w:type="gramStart"/>
      <w:r w:rsidRPr="003B7CCF">
        <w:rPr>
          <w:rFonts w:eastAsia="Garamond"/>
          <w:i/>
          <w:sz w:val="18"/>
          <w:szCs w:val="18"/>
          <w:u w:val="single"/>
        </w:rPr>
        <w:t>a</w:t>
      </w:r>
      <w:proofErr w:type="gramEnd"/>
      <w:r w:rsidRPr="003B7CCF">
        <w:rPr>
          <w:rFonts w:eastAsia="Garamond"/>
          <w:i/>
          <w:sz w:val="18"/>
          <w:szCs w:val="18"/>
          <w:u w:val="single"/>
        </w:rPr>
        <w:t xml:space="preserve"> execução, acionou uma viatura próxima à rua. O homem foi preso em flagrante e enquadrado por porte ilegal de arma e homicídio duplamente qualificado – por motivo torpe e sem chance de defesa – e, segundo me informaram fontes que assistiram ao seu depoimento, ele “não se arrepende”. Tampouco dá pistas de algo que se aproxime de uma justificativa plausível – se é que existe – para cravar oito balas em Sandra. O caso de Sandra se torna mais comum a cada dia. Na semana passada, dois oficiais que atuavam em conjunto em uma ação na cidade de Itapecerica da Serra foram recebidos a tiros de “12”. Para os que não conhecem calibre de armas, digo que uma “12” é utilizada para abater animais de grande porte, como bois, búfalos e, em situações de covardia desmedida, Oficiais de Justiça. Ainda pelos próximos dias, trago detalhes do episódio da “12” e tantos outros que assombram funcionários do Judiciário no estado de São Paulo. Fonte: Portal IMPRENSA / Por Eduardo Neco</w:t>
      </w:r>
    </w:p>
    <w:p w:rsidR="001F2726" w:rsidRDefault="001F2726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Quem sabe se não solicitássemos a presença da Polícia Militar no cumprimento deste ato, seríamos mais uma estatística e uma página do noticiário....</w:t>
      </w:r>
    </w:p>
    <w:p w:rsidR="00904BF0" w:rsidRDefault="00904BF0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Neste caso em específico, o local se trata de um bairro anômalo ao bairro em que a Oficial de Justiça de estado de São Paulo foi assassinada e, um ato que retira um bem às vezes essencial de uma pessoa totalmente desconhecida já é motivo da polícia militar se fazer presente.</w:t>
      </w: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Senão vejamos o que está cristalino na CF/88 em seu Art. 5º, caput, que garante “a todos os cidadãos o direito intocável</w:t>
      </w:r>
      <w:r w:rsidR="00904BF0">
        <w:rPr>
          <w:rFonts w:eastAsia="Garamond"/>
        </w:rPr>
        <w:t>, inviolável e imprescritível</w:t>
      </w:r>
      <w:r>
        <w:rPr>
          <w:rFonts w:eastAsia="Garamond"/>
        </w:rPr>
        <w:t>”:</w:t>
      </w: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7CCF" w:rsidRPr="00237EC1" w:rsidRDefault="003B7CCF" w:rsidP="003B7CCF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  <w:u w:val="single"/>
        </w:rPr>
      </w:pPr>
      <w:r w:rsidRPr="00237EC1">
        <w:rPr>
          <w:rFonts w:eastAsia="Garamond"/>
          <w:b/>
          <w:bCs/>
          <w:i/>
          <w:sz w:val="18"/>
          <w:szCs w:val="18"/>
          <w:u w:val="single"/>
        </w:rPr>
        <w:t>Art. 5º</w:t>
      </w:r>
      <w:r w:rsidRPr="00237EC1">
        <w:rPr>
          <w:rFonts w:eastAsia="Garamond"/>
          <w:i/>
          <w:sz w:val="18"/>
          <w:szCs w:val="18"/>
          <w:u w:val="single"/>
        </w:rPr>
        <w:t> 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3B7CCF" w:rsidRDefault="003B7CCF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7F3899" w:rsidRDefault="003369B8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Neste diapasão é IMINENTE e INERENTE o risco à integridade física e inclusive à vida desta categoria no realizar de atos onde o estado juiz </w:t>
      </w:r>
      <w:r w:rsidR="006C67FD">
        <w:rPr>
          <w:rFonts w:eastAsia="Garamond"/>
        </w:rPr>
        <w:t xml:space="preserve">à luz da legislação pertinente à cada </w:t>
      </w:r>
      <w:r w:rsidR="007F3899">
        <w:rPr>
          <w:rFonts w:eastAsia="Garamond"/>
        </w:rPr>
        <w:t xml:space="preserve">tipo de ação, decide </w:t>
      </w:r>
      <w:proofErr w:type="spellStart"/>
      <w:r w:rsidR="007F3899">
        <w:rPr>
          <w:rFonts w:eastAsia="Garamond"/>
        </w:rPr>
        <w:t>intra</w:t>
      </w:r>
      <w:proofErr w:type="spellEnd"/>
      <w:r w:rsidR="00C92C51">
        <w:rPr>
          <w:rFonts w:eastAsia="Garamond"/>
        </w:rPr>
        <w:t xml:space="preserve"> </w:t>
      </w:r>
      <w:r w:rsidR="007F3899">
        <w:rPr>
          <w:rFonts w:eastAsia="Garamond"/>
        </w:rPr>
        <w:t>processualmente, tendo consequentemente e inevitavelmente a incumbência ao Oficial de Justiça da devida materialização da ficção jurídica.</w:t>
      </w:r>
    </w:p>
    <w:p w:rsidR="007F3899" w:rsidRDefault="007F3899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7F3899" w:rsidRPr="00D4608D" w:rsidRDefault="00D4608D" w:rsidP="00FA3CF3">
      <w:pPr>
        <w:pStyle w:val="Normal1"/>
        <w:spacing w:line="360" w:lineRule="auto"/>
        <w:ind w:firstLine="1985"/>
        <w:jc w:val="both"/>
        <w:rPr>
          <w:rFonts w:eastAsia="Garamond"/>
          <w:b/>
          <w:u w:val="single"/>
        </w:rPr>
      </w:pPr>
      <w:r>
        <w:rPr>
          <w:rFonts w:eastAsia="Garamond"/>
        </w:rPr>
        <w:lastRenderedPageBreak/>
        <w:t>Devemos olvidar que,</w:t>
      </w:r>
      <w:r w:rsidR="007F3899">
        <w:rPr>
          <w:rFonts w:eastAsia="Garamond"/>
        </w:rPr>
        <w:t xml:space="preserve"> em virtude da desestruturação do estado, somos </w:t>
      </w:r>
      <w:r w:rsidR="00476070">
        <w:rPr>
          <w:rFonts w:eastAsia="Garamond"/>
        </w:rPr>
        <w:t>sabedores</w:t>
      </w:r>
      <w:r w:rsidR="007F3899">
        <w:rPr>
          <w:rFonts w:eastAsia="Garamond"/>
        </w:rPr>
        <w:t xml:space="preserve"> que não temos condições de </w:t>
      </w:r>
      <w:proofErr w:type="spellStart"/>
      <w:r w:rsidR="007F3899">
        <w:rPr>
          <w:rFonts w:eastAsia="Garamond"/>
        </w:rPr>
        <w:t>nos</w:t>
      </w:r>
      <w:proofErr w:type="spellEnd"/>
      <w:r w:rsidR="007F3899">
        <w:rPr>
          <w:rFonts w:eastAsia="Garamond"/>
        </w:rPr>
        <w:t xml:space="preserve"> fazermos acompanhar da força pública em todos os atos. Mas temos a expertise de campo, de quando é estritamente necessário o acompanhamento desta força pública, aqui personificada pela Polícia Militar do Estado de Mato Grosso. </w:t>
      </w:r>
      <w:r w:rsidR="003A4502">
        <w:rPr>
          <w:rFonts w:eastAsia="Garamond"/>
        </w:rPr>
        <w:t xml:space="preserve">Portanto, </w:t>
      </w:r>
      <w:r>
        <w:rPr>
          <w:rFonts w:eastAsia="Garamond"/>
        </w:rPr>
        <w:t xml:space="preserve">também </w:t>
      </w:r>
      <w:r w:rsidR="003A4502" w:rsidRPr="00D4608D">
        <w:rPr>
          <w:rFonts w:eastAsia="Garamond"/>
          <w:b/>
          <w:u w:val="single"/>
        </w:rPr>
        <w:t xml:space="preserve">é </w:t>
      </w:r>
      <w:r w:rsidR="00D50816" w:rsidRPr="00D4608D">
        <w:rPr>
          <w:rFonts w:eastAsia="Garamond"/>
          <w:b/>
          <w:u w:val="single"/>
        </w:rPr>
        <w:t>clarividente</w:t>
      </w:r>
      <w:r w:rsidR="007F3899" w:rsidRPr="00D4608D">
        <w:rPr>
          <w:rFonts w:eastAsia="Garamond"/>
          <w:b/>
          <w:u w:val="single"/>
        </w:rPr>
        <w:t xml:space="preserve"> a função constitucional deste braço do estado, conforme preconiza </w:t>
      </w:r>
      <w:r w:rsidR="00476070" w:rsidRPr="00D4608D">
        <w:rPr>
          <w:rFonts w:eastAsia="Garamond"/>
          <w:b/>
          <w:u w:val="single"/>
        </w:rPr>
        <w:t xml:space="preserve">o Art. 144, § 5º da </w:t>
      </w:r>
      <w:r w:rsidR="007F3899" w:rsidRPr="00D4608D">
        <w:rPr>
          <w:rFonts w:eastAsia="Garamond"/>
          <w:b/>
          <w:u w:val="single"/>
        </w:rPr>
        <w:t xml:space="preserve">nossa Carta Magna: </w:t>
      </w:r>
    </w:p>
    <w:p w:rsidR="00904BF0" w:rsidRPr="00237EC1" w:rsidRDefault="00904BF0" w:rsidP="00FA3CF3">
      <w:pPr>
        <w:pStyle w:val="Normal1"/>
        <w:spacing w:line="360" w:lineRule="auto"/>
        <w:ind w:firstLine="1985"/>
        <w:jc w:val="both"/>
        <w:rPr>
          <w:rFonts w:eastAsia="Garamond"/>
          <w:sz w:val="18"/>
          <w:szCs w:val="18"/>
        </w:rPr>
      </w:pP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bCs/>
          <w:i/>
          <w:sz w:val="18"/>
          <w:szCs w:val="18"/>
        </w:rPr>
        <w:t>Art. 144.</w:t>
      </w:r>
      <w:r w:rsidRPr="00237EC1">
        <w:rPr>
          <w:rFonts w:eastAsia="Garamond"/>
          <w:i/>
          <w:sz w:val="18"/>
          <w:szCs w:val="18"/>
        </w:rPr>
        <w:t> A segurança pública, dever do Estado, direito e responsabilidade de todos, é exercida para a preservação da ordem pública e da incolumidade das pessoas e do patrimônio, através dos seguintes órgãos: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  </w:t>
      </w:r>
      <w:bookmarkStart w:id="1" w:name="inc_I_"/>
      <w:r w:rsidRPr="00237EC1">
        <w:rPr>
          <w:rFonts w:eastAsia="Garamond"/>
          <w:i/>
          <w:sz w:val="18"/>
          <w:szCs w:val="18"/>
        </w:rPr>
        <w:t>  </w:t>
      </w:r>
      <w:bookmarkEnd w:id="1"/>
      <w:r w:rsidRPr="00237EC1">
        <w:rPr>
          <w:rFonts w:eastAsia="Garamond"/>
          <w:i/>
          <w:sz w:val="18"/>
          <w:szCs w:val="18"/>
        </w:rPr>
        <w:t>    I -  polícia federal;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  </w:t>
      </w:r>
      <w:bookmarkStart w:id="2" w:name="inc_II_"/>
      <w:r w:rsidRPr="00237EC1">
        <w:rPr>
          <w:rFonts w:eastAsia="Garamond"/>
          <w:i/>
          <w:sz w:val="18"/>
          <w:szCs w:val="18"/>
        </w:rPr>
        <w:t>  </w:t>
      </w:r>
      <w:bookmarkEnd w:id="2"/>
      <w:r w:rsidRPr="00237EC1">
        <w:rPr>
          <w:rFonts w:eastAsia="Garamond"/>
          <w:i/>
          <w:sz w:val="18"/>
          <w:szCs w:val="18"/>
        </w:rPr>
        <w:t>    II -  polícia rodoviária federal;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  </w:t>
      </w:r>
      <w:bookmarkStart w:id="3" w:name="inc_III_"/>
      <w:r w:rsidRPr="00237EC1">
        <w:rPr>
          <w:rFonts w:eastAsia="Garamond"/>
          <w:i/>
          <w:sz w:val="18"/>
          <w:szCs w:val="18"/>
        </w:rPr>
        <w:t>  </w:t>
      </w:r>
      <w:bookmarkEnd w:id="3"/>
      <w:r w:rsidRPr="00237EC1">
        <w:rPr>
          <w:rFonts w:eastAsia="Garamond"/>
          <w:i/>
          <w:sz w:val="18"/>
          <w:szCs w:val="18"/>
        </w:rPr>
        <w:t>    III -  polícia ferroviária federal;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  </w:t>
      </w:r>
      <w:bookmarkStart w:id="4" w:name="inc_IV_"/>
      <w:r w:rsidRPr="00237EC1">
        <w:rPr>
          <w:rFonts w:eastAsia="Garamond"/>
          <w:i/>
          <w:sz w:val="18"/>
          <w:szCs w:val="18"/>
        </w:rPr>
        <w:t>  </w:t>
      </w:r>
      <w:bookmarkEnd w:id="4"/>
      <w:r w:rsidRPr="00237EC1">
        <w:rPr>
          <w:rFonts w:eastAsia="Garamond"/>
          <w:i/>
          <w:sz w:val="18"/>
          <w:szCs w:val="18"/>
        </w:rPr>
        <w:t>    IV -  polícias civis;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  </w:t>
      </w:r>
      <w:bookmarkStart w:id="5" w:name="inc_V_"/>
      <w:r w:rsidRPr="00237EC1">
        <w:rPr>
          <w:rFonts w:eastAsia="Garamond"/>
          <w:i/>
          <w:sz w:val="18"/>
          <w:szCs w:val="18"/>
        </w:rPr>
        <w:t>  </w:t>
      </w:r>
      <w:bookmarkEnd w:id="5"/>
      <w:r w:rsidRPr="00237EC1">
        <w:rPr>
          <w:rFonts w:eastAsia="Garamond"/>
          <w:i/>
          <w:sz w:val="18"/>
          <w:szCs w:val="18"/>
        </w:rPr>
        <w:t>    V -  polícias militares e corpos de bombeiros militares.</w:t>
      </w:r>
    </w:p>
    <w:p w:rsidR="007F3899" w:rsidRPr="00237EC1" w:rsidRDefault="007F3899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r w:rsidRPr="00237EC1">
        <w:rPr>
          <w:rFonts w:eastAsia="Garamond"/>
          <w:i/>
          <w:sz w:val="18"/>
          <w:szCs w:val="18"/>
        </w:rPr>
        <w:t>...</w:t>
      </w:r>
    </w:p>
    <w:p w:rsidR="007F3899" w:rsidRPr="00237EC1" w:rsidRDefault="00476070" w:rsidP="00904BF0">
      <w:pPr>
        <w:pStyle w:val="Normal1"/>
        <w:spacing w:line="360" w:lineRule="auto"/>
        <w:ind w:left="1985"/>
        <w:jc w:val="both"/>
        <w:rPr>
          <w:rFonts w:eastAsia="Garamond"/>
          <w:i/>
          <w:sz w:val="18"/>
          <w:szCs w:val="18"/>
        </w:rPr>
      </w:pPr>
      <w:bookmarkStart w:id="6" w:name="par_5_"/>
      <w:r w:rsidRPr="00237EC1">
        <w:rPr>
          <w:rFonts w:eastAsia="Garamond"/>
          <w:i/>
          <w:sz w:val="18"/>
          <w:szCs w:val="18"/>
        </w:rPr>
        <w:t> </w:t>
      </w:r>
      <w:bookmarkEnd w:id="6"/>
      <w:r w:rsidRPr="00237EC1">
        <w:rPr>
          <w:rFonts w:eastAsia="Garamond"/>
          <w:bCs/>
          <w:i/>
          <w:sz w:val="18"/>
          <w:szCs w:val="18"/>
        </w:rPr>
        <w:t>§ 5º</w:t>
      </w:r>
      <w:r w:rsidRPr="00237EC1">
        <w:rPr>
          <w:rFonts w:eastAsia="Garamond"/>
          <w:i/>
          <w:sz w:val="18"/>
          <w:szCs w:val="18"/>
        </w:rPr>
        <w:t xml:space="preserve"> Às polícias militares cabem a </w:t>
      </w:r>
      <w:r w:rsidRPr="00237EC1">
        <w:rPr>
          <w:rFonts w:eastAsia="Garamond"/>
          <w:i/>
          <w:sz w:val="18"/>
          <w:szCs w:val="18"/>
          <w:u w:val="single"/>
        </w:rPr>
        <w:t>polícia ostensiva e a preservação da ordem pública</w:t>
      </w:r>
      <w:r w:rsidRPr="00237EC1">
        <w:rPr>
          <w:rFonts w:eastAsia="Garamond"/>
          <w:i/>
          <w:sz w:val="18"/>
          <w:szCs w:val="18"/>
        </w:rPr>
        <w:t>; aos corpos de bombeiros militares, além das atribuições definidas em lei, incumbe a execução de atividades de defesa civil.</w:t>
      </w:r>
      <w:r w:rsidR="0073396F" w:rsidRPr="00237EC1">
        <w:rPr>
          <w:rFonts w:eastAsia="Garamond"/>
          <w:i/>
          <w:sz w:val="18"/>
          <w:szCs w:val="18"/>
        </w:rPr>
        <w:t xml:space="preserve"> (grifo nosso).</w:t>
      </w:r>
    </w:p>
    <w:p w:rsidR="007F3899" w:rsidRDefault="007F3899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904BF0" w:rsidRDefault="003A4502" w:rsidP="009B5CDF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Outrossim,</w:t>
      </w:r>
      <w:r w:rsidR="00904BF0">
        <w:rPr>
          <w:rFonts w:eastAsia="Garamond"/>
        </w:rPr>
        <w:t xml:space="preserve"> providencialmente o </w:t>
      </w:r>
      <w:r w:rsidR="00904BF0">
        <w:rPr>
          <w:rFonts w:eastAsia="Garamond"/>
          <w:b/>
          <w:u w:val="single"/>
        </w:rPr>
        <w:t>“Presidente da República”</w:t>
      </w:r>
      <w:r>
        <w:rPr>
          <w:rFonts w:eastAsia="Garamond"/>
        </w:rPr>
        <w:t xml:space="preserve"> </w:t>
      </w:r>
      <w:r w:rsidR="00904BF0">
        <w:rPr>
          <w:rFonts w:eastAsia="Garamond"/>
        </w:rPr>
        <w:t>publicou o Decreto Lei</w:t>
      </w:r>
      <w:r w:rsidR="00D4608D">
        <w:rPr>
          <w:rFonts w:eastAsia="Garamond"/>
        </w:rPr>
        <w:t xml:space="preserve"> n.º 9.785, de 7 de maio de 2019, regulamentando à lei n.º 10.826, de 22 de dezembro de 2003, comprovando o risco à vida desta categoria, “</w:t>
      </w:r>
      <w:r w:rsidR="00D4608D" w:rsidRPr="00D4608D">
        <w:rPr>
          <w:rFonts w:eastAsia="Garamond"/>
          <w:i/>
        </w:rPr>
        <w:t xml:space="preserve">in </w:t>
      </w:r>
      <w:proofErr w:type="spellStart"/>
      <w:r w:rsidR="00D4608D" w:rsidRPr="00D4608D">
        <w:rPr>
          <w:rFonts w:eastAsia="Garamond"/>
          <w:i/>
        </w:rPr>
        <w:t>verbis</w:t>
      </w:r>
      <w:proofErr w:type="spellEnd"/>
      <w:r w:rsidR="00D4608D" w:rsidRPr="00D4608D">
        <w:rPr>
          <w:rFonts w:eastAsia="Garamond"/>
          <w:i/>
        </w:rPr>
        <w:t>”:</w:t>
      </w:r>
    </w:p>
    <w:p w:rsidR="00904BF0" w:rsidRPr="00D4608D" w:rsidRDefault="00904BF0" w:rsidP="00904BF0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222222"/>
          <w:sz w:val="20"/>
          <w:szCs w:val="20"/>
        </w:rPr>
      </w:pPr>
      <w:r w:rsidRPr="00D4608D">
        <w:rPr>
          <w:rFonts w:ascii="Arial" w:hAnsi="Arial" w:cs="Arial"/>
          <w:b/>
          <w:bCs/>
          <w:caps/>
          <w:color w:val="222222"/>
          <w:sz w:val="20"/>
          <w:szCs w:val="20"/>
        </w:rPr>
        <w:t xml:space="preserve">DECRETO </w:t>
      </w:r>
      <w:bookmarkStart w:id="7" w:name="_Hlk8313103"/>
      <w:r w:rsidRPr="00D4608D">
        <w:rPr>
          <w:rFonts w:ascii="Arial" w:hAnsi="Arial" w:cs="Arial"/>
          <w:b/>
          <w:bCs/>
          <w:caps/>
          <w:color w:val="222222"/>
          <w:sz w:val="20"/>
          <w:szCs w:val="20"/>
        </w:rPr>
        <w:t>Nº 9.785, DE 7 DE MAIO DE 2019</w:t>
      </w:r>
    </w:p>
    <w:bookmarkEnd w:id="7"/>
    <w:p w:rsidR="00904BF0" w:rsidRPr="00D4608D" w:rsidRDefault="00904BF0" w:rsidP="00904BF0">
      <w:pPr>
        <w:pStyle w:val="ementa"/>
        <w:shd w:val="clear" w:color="auto" w:fill="FFFFFF"/>
        <w:spacing w:before="0" w:beforeAutospacing="0" w:after="450" w:afterAutospacing="0"/>
        <w:ind w:left="2268"/>
        <w:jc w:val="both"/>
        <w:rPr>
          <w:rFonts w:ascii="Arial" w:hAnsi="Arial" w:cs="Arial"/>
          <w:color w:val="999999"/>
          <w:sz w:val="20"/>
          <w:szCs w:val="20"/>
        </w:rPr>
      </w:pPr>
      <w:r w:rsidRPr="00D4608D">
        <w:rPr>
          <w:rFonts w:ascii="Arial" w:hAnsi="Arial" w:cs="Arial"/>
          <w:color w:val="999999"/>
          <w:sz w:val="20"/>
          <w:szCs w:val="20"/>
        </w:rPr>
        <w:t>Regulamenta a Lei nº 10.826, de 22 de dezembro de 2003, para dispor sobre a aquisição, o cadastro, o registro, a posse, o porte e a comercialização de armas de fogo e de munição e sobre o Sistema Nacional de Armas e o Sistema Nacional de Gerenciamento Militar de Armas.</w:t>
      </w:r>
    </w:p>
    <w:p w:rsidR="00904BF0" w:rsidRPr="00D4608D" w:rsidRDefault="00904BF0" w:rsidP="00904BF0">
      <w:pPr>
        <w:pStyle w:val="dou-paragraph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D4608D">
        <w:rPr>
          <w:rStyle w:val="Forte"/>
          <w:rFonts w:ascii="Arial" w:hAnsi="Arial" w:cs="Arial"/>
          <w:color w:val="222222"/>
          <w:sz w:val="20"/>
          <w:szCs w:val="20"/>
        </w:rPr>
        <w:t>O PRESIDENTE DA REPÚBLICA</w:t>
      </w:r>
      <w:r w:rsidRPr="00D4608D">
        <w:rPr>
          <w:rFonts w:ascii="Arial" w:hAnsi="Arial" w:cs="Arial"/>
          <w:color w:val="222222"/>
          <w:sz w:val="20"/>
          <w:szCs w:val="20"/>
        </w:rPr>
        <w:t>, no uso da atribuição que lhe confere o art. 84,</w:t>
      </w:r>
      <w:r w:rsidR="00237EC1">
        <w:rPr>
          <w:rFonts w:ascii="Arial" w:hAnsi="Arial" w:cs="Arial"/>
          <w:color w:val="222222"/>
          <w:sz w:val="20"/>
          <w:szCs w:val="20"/>
        </w:rPr>
        <w:t xml:space="preserve"> </w:t>
      </w:r>
      <w:r w:rsidRPr="00D4608D">
        <w:rPr>
          <w:rStyle w:val="Forte"/>
          <w:rFonts w:ascii="Arial" w:hAnsi="Arial" w:cs="Arial"/>
          <w:color w:val="222222"/>
          <w:sz w:val="20"/>
          <w:szCs w:val="20"/>
        </w:rPr>
        <w:t>caput</w:t>
      </w:r>
      <w:r w:rsidRPr="00D4608D">
        <w:rPr>
          <w:rFonts w:ascii="Arial" w:hAnsi="Arial" w:cs="Arial"/>
          <w:color w:val="222222"/>
          <w:sz w:val="20"/>
          <w:szCs w:val="20"/>
        </w:rPr>
        <w:t>, inciso IV, da Constituição, e tendo em vista o disposto na Lei nº 10.826, de 22 de dezembro de 2003,</w:t>
      </w:r>
    </w:p>
    <w:p w:rsidR="00904BF0" w:rsidRPr="00D4608D" w:rsidRDefault="00904BF0" w:rsidP="00904BF0">
      <w:pPr>
        <w:pStyle w:val="dou-paragraph"/>
        <w:shd w:val="clear" w:color="auto" w:fill="FFFFFF"/>
        <w:spacing w:before="0" w:beforeAutospacing="0"/>
        <w:jc w:val="both"/>
        <w:rPr>
          <w:rStyle w:val="Forte"/>
          <w:rFonts w:ascii="Arial" w:hAnsi="Arial" w:cs="Arial"/>
          <w:color w:val="222222"/>
          <w:sz w:val="20"/>
          <w:szCs w:val="20"/>
        </w:rPr>
      </w:pPr>
      <w:r w:rsidRPr="00D4608D">
        <w:rPr>
          <w:rStyle w:val="Forte"/>
          <w:rFonts w:ascii="Arial" w:hAnsi="Arial" w:cs="Arial"/>
          <w:color w:val="222222"/>
          <w:sz w:val="20"/>
          <w:szCs w:val="20"/>
        </w:rPr>
        <w:t xml:space="preserve">D E C R E T </w:t>
      </w:r>
      <w:proofErr w:type="gramStart"/>
      <w:r w:rsidRPr="00D4608D">
        <w:rPr>
          <w:rStyle w:val="Forte"/>
          <w:rFonts w:ascii="Arial" w:hAnsi="Arial" w:cs="Arial"/>
          <w:color w:val="222222"/>
          <w:sz w:val="20"/>
          <w:szCs w:val="20"/>
        </w:rPr>
        <w:t>A :</w:t>
      </w:r>
      <w:proofErr w:type="gramEnd"/>
    </w:p>
    <w:p w:rsidR="00D4608D" w:rsidRDefault="00D4608D" w:rsidP="00904BF0">
      <w:pPr>
        <w:pStyle w:val="dou-paragraph"/>
        <w:shd w:val="clear" w:color="auto" w:fill="FFFFFF"/>
        <w:spacing w:before="0" w:beforeAutospacing="0"/>
        <w:jc w:val="both"/>
        <w:rPr>
          <w:rStyle w:val="Forte"/>
          <w:rFonts w:ascii="Arial" w:hAnsi="Arial" w:cs="Arial"/>
          <w:color w:val="222222"/>
        </w:rPr>
      </w:pPr>
      <w:r>
        <w:rPr>
          <w:rStyle w:val="Forte"/>
          <w:rFonts w:ascii="Arial" w:hAnsi="Arial" w:cs="Arial"/>
          <w:color w:val="222222"/>
        </w:rPr>
        <w:t>...</w:t>
      </w:r>
    </w:p>
    <w:p w:rsidR="00904BF0" w:rsidRP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 xml:space="preserve">Art. 20. O porte de arma de fogo, expedido pela Polícia Federal, é pessoal, intransferível, terá validade no território nacional e garantirá o direito de portar consigo qualquer arma de fogo, acessório ou munição do acervo do interessado com registro válido no </w:t>
      </w:r>
      <w:proofErr w:type="spellStart"/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>Sinarm</w:t>
      </w:r>
      <w:proofErr w:type="spellEnd"/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 xml:space="preserve"> ou no Sigma, conforme o caso, por meio da apresentação do documento de identificação do portador.</w:t>
      </w:r>
    </w:p>
    <w:p w:rsidR="00D4608D" w:rsidRP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lastRenderedPageBreak/>
        <w:t>...</w:t>
      </w:r>
    </w:p>
    <w:p w:rsid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>§ 3º Considera-se cumprido o requisito previsto no inciso I do § 1º do art. 10 da Lei nº 10.826, de 2003, quando o requerente for:</w:t>
      </w:r>
    </w:p>
    <w:p w:rsid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>
        <w:rPr>
          <w:rFonts w:ascii="Arial" w:hAnsi="Arial" w:cs="Arial"/>
          <w:i/>
          <w:color w:val="222222"/>
          <w:sz w:val="18"/>
          <w:szCs w:val="18"/>
          <w:u w:val="single"/>
        </w:rPr>
        <w:t>...</w:t>
      </w:r>
    </w:p>
    <w:p w:rsid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>III - agente público, inclusive inativo:</w:t>
      </w:r>
    </w:p>
    <w:p w:rsid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>
        <w:rPr>
          <w:rFonts w:ascii="Arial" w:hAnsi="Arial" w:cs="Arial"/>
          <w:i/>
          <w:color w:val="222222"/>
          <w:sz w:val="18"/>
          <w:szCs w:val="18"/>
          <w:u w:val="single"/>
        </w:rPr>
        <w:t>...</w:t>
      </w:r>
    </w:p>
    <w:p w:rsidR="00D4608D" w:rsidRPr="00D4608D" w:rsidRDefault="00D4608D" w:rsidP="00D4608D">
      <w:pPr>
        <w:pStyle w:val="dou-paragraph"/>
        <w:shd w:val="clear" w:color="auto" w:fill="FFFFFF"/>
        <w:spacing w:before="0" w:beforeAutospacing="0"/>
        <w:ind w:left="2268"/>
        <w:jc w:val="both"/>
        <w:rPr>
          <w:rFonts w:ascii="Arial" w:hAnsi="Arial" w:cs="Arial"/>
          <w:i/>
          <w:color w:val="222222"/>
          <w:sz w:val="18"/>
          <w:szCs w:val="18"/>
          <w:u w:val="single"/>
        </w:rPr>
      </w:pPr>
      <w:r w:rsidRPr="00D4608D">
        <w:rPr>
          <w:rFonts w:ascii="Arial" w:hAnsi="Arial" w:cs="Arial"/>
          <w:i/>
          <w:color w:val="222222"/>
          <w:sz w:val="18"/>
          <w:szCs w:val="18"/>
          <w:u w:val="single"/>
        </w:rPr>
        <w:t>i) que exerça a profissão de oficial de justiça;</w:t>
      </w:r>
    </w:p>
    <w:p w:rsidR="00D4608D" w:rsidRDefault="00D4608D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Por fim, c</w:t>
      </w:r>
      <w:r w:rsidR="00476070">
        <w:rPr>
          <w:rFonts w:eastAsia="Garamond"/>
        </w:rPr>
        <w:t>abe a qualquer cidadão</w:t>
      </w:r>
      <w:r w:rsidR="003A4502">
        <w:rPr>
          <w:rFonts w:eastAsia="Garamond"/>
        </w:rPr>
        <w:t xml:space="preserve"> civil</w:t>
      </w:r>
      <w:r w:rsidR="00476070">
        <w:rPr>
          <w:rFonts w:eastAsia="Garamond"/>
        </w:rPr>
        <w:t xml:space="preserve"> o exercício do direito de solicitar as forças de intervenção para que “</w:t>
      </w:r>
      <w:r w:rsidR="00476070">
        <w:rPr>
          <w:rFonts w:eastAsia="Garamond"/>
          <w:b/>
          <w:u w:val="single"/>
        </w:rPr>
        <w:t>não ocorra uma tipificação penal”</w:t>
      </w:r>
      <w:r w:rsidR="003369B8">
        <w:rPr>
          <w:rFonts w:eastAsia="Garamond"/>
        </w:rPr>
        <w:t xml:space="preserve"> </w:t>
      </w:r>
      <w:r w:rsidR="00476070">
        <w:rPr>
          <w:rFonts w:eastAsia="Garamond"/>
        </w:rPr>
        <w:t xml:space="preserve">em desfavor de qualquer de seus entes. </w:t>
      </w:r>
      <w:r>
        <w:rPr>
          <w:rFonts w:eastAsia="Garamond"/>
        </w:rPr>
        <w:t>Portanto, estes Oficiais de Justiça solicitaram a força pública de maneira a preservação da vida destes servidores, das partes e inclusive vizinhos e terceiros. Não há a necessidade da realização de um crime para que a força ostensiva e preventiva do Estado, personificada pela Polícia Militar do Estado de Mato Grosso esteja presente.</w:t>
      </w:r>
    </w:p>
    <w:p w:rsidR="00D4608D" w:rsidRDefault="00D4608D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237EC1" w:rsidRDefault="00D4608D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P</w:t>
      </w:r>
      <w:r w:rsidR="00C92C51">
        <w:rPr>
          <w:rFonts w:eastAsia="Garamond"/>
        </w:rPr>
        <w:t>artindo deste princípio, poderí</w:t>
      </w:r>
      <w:r w:rsidR="00237EC1">
        <w:rPr>
          <w:rFonts w:eastAsia="Garamond"/>
        </w:rPr>
        <w:t>amos</w:t>
      </w:r>
      <w:r>
        <w:rPr>
          <w:rFonts w:eastAsia="Garamond"/>
        </w:rPr>
        <w:t xml:space="preserve"> então questionar a presença da Polícia Militar em prédios públicos</w:t>
      </w:r>
      <w:r w:rsidR="00237EC1">
        <w:rPr>
          <w:rFonts w:eastAsia="Garamond"/>
        </w:rPr>
        <w:t xml:space="preserve"> e, inclusive</w:t>
      </w:r>
      <w:r>
        <w:rPr>
          <w:rFonts w:eastAsia="Garamond"/>
        </w:rPr>
        <w:t xml:space="preserve"> em todos os átrios do</w:t>
      </w:r>
      <w:r w:rsidR="00237EC1">
        <w:rPr>
          <w:rFonts w:eastAsia="Garamond"/>
        </w:rPr>
        <w:t>s</w:t>
      </w:r>
      <w:r>
        <w:rPr>
          <w:rFonts w:eastAsia="Garamond"/>
        </w:rPr>
        <w:t xml:space="preserve"> Fóru</w:t>
      </w:r>
      <w:r w:rsidR="00237EC1">
        <w:rPr>
          <w:rFonts w:eastAsia="Garamond"/>
        </w:rPr>
        <w:t>ns</w:t>
      </w:r>
      <w:r>
        <w:rPr>
          <w:rFonts w:eastAsia="Garamond"/>
        </w:rPr>
        <w:t xml:space="preserve"> e Tribunais deste Brasil, pois, ali, não </w:t>
      </w:r>
      <w:r w:rsidR="00237EC1">
        <w:rPr>
          <w:rFonts w:eastAsia="Garamond"/>
        </w:rPr>
        <w:t>é acometido nenhum crime durante os expedientes.</w:t>
      </w:r>
    </w:p>
    <w:p w:rsidR="00237EC1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237EC1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DOS PEDIDOS:</w:t>
      </w:r>
    </w:p>
    <w:p w:rsidR="00237EC1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237EC1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Certos de nossos humildes esclarecimentos, entendemos que os riscos são prementes e, inclusive fora autorizado o reforço policial para o acompanhamento necessário do ato expropriatório, pois, somos a mão direta de Vossa Excelência para a retirada do bem do devedor. </w:t>
      </w:r>
    </w:p>
    <w:p w:rsidR="00237EC1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6F2CFC" w:rsidRDefault="00237EC1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Por fim, cumprimos milhares de mandados durante apenas um ano de trabalho e uma incontável quantidade durante às décadas em que exercemos nosso múnus público e, humildemente, queremos exercê-lo com responsabilidade, amor, dedicação e honestidade até nossa aposentadoria. Portanto, precisamos cada vez mais do apoio dos Magistrados/Desembargadores, pois, temos apenas uma vida e não podemos pô-la em risco sem os mínimos critérios de segurança.</w:t>
      </w:r>
    </w:p>
    <w:p w:rsidR="00C72CB8" w:rsidRDefault="00C72CB8" w:rsidP="00D4608D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C72CB8" w:rsidRDefault="00D50816" w:rsidP="00D50816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Apresentando nossas deveras </w:t>
      </w:r>
      <w:r w:rsidR="007912BB">
        <w:rPr>
          <w:rFonts w:eastAsia="Garamond"/>
        </w:rPr>
        <w:t xml:space="preserve">considerações de estima e respeito a </w:t>
      </w:r>
      <w:r>
        <w:rPr>
          <w:rFonts w:eastAsia="Garamond"/>
        </w:rPr>
        <w:t>esta</w:t>
      </w:r>
      <w:r w:rsidR="00E02B12">
        <w:rPr>
          <w:rFonts w:eastAsia="Garamond"/>
        </w:rPr>
        <w:t xml:space="preserve"> Juízo competente</w:t>
      </w:r>
      <w:r>
        <w:rPr>
          <w:rFonts w:eastAsia="Garamond"/>
        </w:rPr>
        <w:t xml:space="preserve">, </w:t>
      </w:r>
      <w:r w:rsidR="007912BB">
        <w:rPr>
          <w:rFonts w:eastAsia="Garamond"/>
        </w:rPr>
        <w:t>nos posiciona</w:t>
      </w:r>
      <w:r>
        <w:rPr>
          <w:rFonts w:eastAsia="Garamond"/>
        </w:rPr>
        <w:t>mos</w:t>
      </w:r>
      <w:r w:rsidR="007912BB">
        <w:rPr>
          <w:rFonts w:eastAsia="Garamond"/>
        </w:rPr>
        <w:t xml:space="preserve"> a inteira disposição deste Egrégio Tribunal </w:t>
      </w:r>
      <w:r w:rsidR="007912BB">
        <w:rPr>
          <w:rFonts w:eastAsia="Garamond"/>
        </w:rPr>
        <w:lastRenderedPageBreak/>
        <w:t>de Justiça do Estado de Mato Grosso</w:t>
      </w:r>
      <w:r>
        <w:rPr>
          <w:rFonts w:eastAsia="Garamond"/>
        </w:rPr>
        <w:t>, com intuito a garantir a melhor e mais eficaz prestação jurisdicional a sociedade</w:t>
      </w:r>
      <w:r w:rsidR="007912BB">
        <w:rPr>
          <w:rFonts w:eastAsia="Garamond"/>
        </w:rPr>
        <w:t>.</w:t>
      </w:r>
    </w:p>
    <w:p w:rsidR="00C72CB8" w:rsidRDefault="00C72CB8" w:rsidP="00D50816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C72CB8" w:rsidRDefault="00C72CB8" w:rsidP="00C72CB8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Cuiabá/MT, 08 de maio de 2019.</w:t>
      </w:r>
      <w:r w:rsidR="005965C3" w:rsidRPr="006C3AAB">
        <w:rPr>
          <w:rFonts w:eastAsia="Garamond"/>
        </w:rPr>
        <w:t xml:space="preserve"> </w:t>
      </w:r>
    </w:p>
    <w:p w:rsidR="00C72CB8" w:rsidRDefault="00C72CB8" w:rsidP="00C72CB8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7912BB" w:rsidRPr="006C3AAB" w:rsidRDefault="007912BB" w:rsidP="005965C3">
      <w:pPr>
        <w:pStyle w:val="Normal1"/>
        <w:spacing w:line="360" w:lineRule="auto"/>
        <w:jc w:val="both"/>
        <w:rPr>
          <w:rFonts w:eastAsia="Garamond"/>
        </w:rPr>
      </w:pPr>
    </w:p>
    <w:p w:rsidR="00507D3B" w:rsidRPr="007912BB" w:rsidRDefault="008645EF" w:rsidP="007912BB">
      <w:pPr>
        <w:pStyle w:val="SemEspaamen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XXXXXXXXXXXXX</w:t>
      </w:r>
    </w:p>
    <w:p w:rsidR="009F419D" w:rsidRDefault="00237EC1" w:rsidP="007912BB">
      <w:pPr>
        <w:pStyle w:val="SemEspaamento"/>
        <w:jc w:val="center"/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>OFICIAL DE JUSTIÇA</w:t>
      </w:r>
    </w:p>
    <w:p w:rsidR="00C72CB8" w:rsidRDefault="00C72CB8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C72CB8" w:rsidRDefault="00C72CB8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C72CB8" w:rsidRDefault="00C72CB8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237EC1" w:rsidRDefault="008645EF" w:rsidP="007912BB">
      <w:pPr>
        <w:pStyle w:val="SemEspaamento"/>
        <w:jc w:val="center"/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>XXXXXXXXXXXXXXXXX</w:t>
      </w:r>
    </w:p>
    <w:p w:rsidR="00237EC1" w:rsidRDefault="00237EC1" w:rsidP="007912BB">
      <w:pPr>
        <w:pStyle w:val="SemEspaamento"/>
        <w:jc w:val="center"/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>OFICIAL DE JUSTIÇA</w:t>
      </w:r>
    </w:p>
    <w:p w:rsidR="00E02B12" w:rsidRDefault="00E02B12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E02B12" w:rsidRDefault="00E02B12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E02B12" w:rsidRDefault="00E02B12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E02B12" w:rsidRPr="00E02B12" w:rsidRDefault="00E02B12" w:rsidP="007912BB">
      <w:pPr>
        <w:pStyle w:val="SemEspaamento"/>
        <w:jc w:val="center"/>
        <w:rPr>
          <w:rFonts w:ascii="Algerian" w:hAnsi="Algerian"/>
          <w:b/>
          <w:color w:val="000000" w:themeColor="text1"/>
          <w:u w:val="single"/>
        </w:rPr>
      </w:pPr>
    </w:p>
    <w:p w:rsidR="00E02B12" w:rsidRPr="00E02B12" w:rsidRDefault="00E02B12" w:rsidP="00E02B12">
      <w:pPr>
        <w:pStyle w:val="SemEspaamento"/>
        <w:rPr>
          <w:rFonts w:ascii="Arial" w:hAnsi="Arial" w:cs="Arial"/>
          <w:b/>
          <w:color w:val="000000" w:themeColor="text1"/>
          <w:u w:val="single"/>
        </w:rPr>
      </w:pPr>
      <w:r w:rsidRPr="00E02B12">
        <w:rPr>
          <w:rFonts w:ascii="Arial" w:hAnsi="Arial" w:cs="Arial"/>
          <w:b/>
          <w:color w:val="000000" w:themeColor="text1"/>
          <w:u w:val="single"/>
        </w:rPr>
        <w:t>Documentos anexos:</w:t>
      </w:r>
    </w:p>
    <w:p w:rsidR="00E02B12" w:rsidRPr="00E02B12" w:rsidRDefault="00E02B12" w:rsidP="00E02B12">
      <w:pPr>
        <w:pStyle w:val="SemEspaamento"/>
        <w:rPr>
          <w:rFonts w:ascii="Arial" w:hAnsi="Arial" w:cs="Arial"/>
          <w:color w:val="000000" w:themeColor="text1"/>
        </w:rPr>
      </w:pPr>
    </w:p>
    <w:p w:rsidR="00E02B12" w:rsidRPr="00E02B12" w:rsidRDefault="00E02B12" w:rsidP="00E02B12">
      <w:pPr>
        <w:pStyle w:val="SemEspaamento"/>
        <w:rPr>
          <w:rFonts w:ascii="Arial" w:hAnsi="Arial" w:cs="Arial"/>
          <w:sz w:val="20"/>
          <w:szCs w:val="20"/>
        </w:rPr>
      </w:pPr>
      <w:r w:rsidRPr="00E02B12">
        <w:rPr>
          <w:rFonts w:ascii="Arial" w:hAnsi="Arial" w:cs="Arial"/>
          <w:color w:val="000000" w:themeColor="text1"/>
          <w:sz w:val="20"/>
          <w:szCs w:val="20"/>
        </w:rPr>
        <w:t>Certidão do Oficial de J</w:t>
      </w:r>
      <w:r w:rsidR="00C92C51">
        <w:rPr>
          <w:rFonts w:ascii="Arial" w:hAnsi="Arial" w:cs="Arial"/>
          <w:color w:val="000000" w:themeColor="text1"/>
          <w:sz w:val="20"/>
          <w:szCs w:val="20"/>
        </w:rPr>
        <w:t>ustiça –</w:t>
      </w:r>
      <w:proofErr w:type="spellStart"/>
      <w:r w:rsidR="00C92C51">
        <w:rPr>
          <w:rFonts w:ascii="Arial" w:hAnsi="Arial" w:cs="Arial"/>
          <w:color w:val="000000" w:themeColor="text1"/>
          <w:sz w:val="20"/>
          <w:szCs w:val="20"/>
        </w:rPr>
        <w:t>xxxxxxxxx</w:t>
      </w:r>
      <w:proofErr w:type="spellEnd"/>
    </w:p>
    <w:sectPr w:rsidR="00E02B12" w:rsidRPr="00E02B12" w:rsidSect="009F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AE7"/>
    <w:multiLevelType w:val="hybridMultilevel"/>
    <w:tmpl w:val="CD747840"/>
    <w:lvl w:ilvl="0" w:tplc="269A485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4E0C"/>
    <w:multiLevelType w:val="hybridMultilevel"/>
    <w:tmpl w:val="5B5A1E22"/>
    <w:lvl w:ilvl="0" w:tplc="9A0AFB88">
      <w:start w:val="1"/>
      <w:numFmt w:val="lowerLetter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1F"/>
    <w:rsid w:val="00006E4A"/>
    <w:rsid w:val="00053A1D"/>
    <w:rsid w:val="00073184"/>
    <w:rsid w:val="000C1257"/>
    <w:rsid w:val="000C7D08"/>
    <w:rsid w:val="000D0654"/>
    <w:rsid w:val="000D7672"/>
    <w:rsid w:val="00121F8E"/>
    <w:rsid w:val="0015322C"/>
    <w:rsid w:val="001A2841"/>
    <w:rsid w:val="001D439C"/>
    <w:rsid w:val="001E08F3"/>
    <w:rsid w:val="001E5766"/>
    <w:rsid w:val="001F2726"/>
    <w:rsid w:val="00217466"/>
    <w:rsid w:val="00237EC1"/>
    <w:rsid w:val="00264128"/>
    <w:rsid w:val="00280B06"/>
    <w:rsid w:val="003077A6"/>
    <w:rsid w:val="003369B8"/>
    <w:rsid w:val="00344E75"/>
    <w:rsid w:val="003724B9"/>
    <w:rsid w:val="003A4502"/>
    <w:rsid w:val="003B7CCF"/>
    <w:rsid w:val="00476070"/>
    <w:rsid w:val="004910BF"/>
    <w:rsid w:val="004915FF"/>
    <w:rsid w:val="004957AA"/>
    <w:rsid w:val="004B297A"/>
    <w:rsid w:val="00507A2F"/>
    <w:rsid w:val="00507D3B"/>
    <w:rsid w:val="00537EC3"/>
    <w:rsid w:val="005965C3"/>
    <w:rsid w:val="00603653"/>
    <w:rsid w:val="006073F8"/>
    <w:rsid w:val="00623AEC"/>
    <w:rsid w:val="00661B1F"/>
    <w:rsid w:val="006667B0"/>
    <w:rsid w:val="006976A2"/>
    <w:rsid w:val="006C3AAB"/>
    <w:rsid w:val="006C67FD"/>
    <w:rsid w:val="006F2CFC"/>
    <w:rsid w:val="007262A4"/>
    <w:rsid w:val="0073396F"/>
    <w:rsid w:val="007729B6"/>
    <w:rsid w:val="0077394A"/>
    <w:rsid w:val="007912BB"/>
    <w:rsid w:val="007F3899"/>
    <w:rsid w:val="00811057"/>
    <w:rsid w:val="008207E6"/>
    <w:rsid w:val="008645EF"/>
    <w:rsid w:val="008A122A"/>
    <w:rsid w:val="008F2E76"/>
    <w:rsid w:val="00904BF0"/>
    <w:rsid w:val="0094694D"/>
    <w:rsid w:val="00955AAC"/>
    <w:rsid w:val="009876BF"/>
    <w:rsid w:val="009B5CDF"/>
    <w:rsid w:val="009B6520"/>
    <w:rsid w:val="009F419D"/>
    <w:rsid w:val="00A10CB7"/>
    <w:rsid w:val="00A11068"/>
    <w:rsid w:val="00A24CEE"/>
    <w:rsid w:val="00A766FF"/>
    <w:rsid w:val="00A77B94"/>
    <w:rsid w:val="00A877A0"/>
    <w:rsid w:val="00AB2D91"/>
    <w:rsid w:val="00AC49E1"/>
    <w:rsid w:val="00AE0DA0"/>
    <w:rsid w:val="00AE6C33"/>
    <w:rsid w:val="00B01A89"/>
    <w:rsid w:val="00B13679"/>
    <w:rsid w:val="00B81249"/>
    <w:rsid w:val="00B833A1"/>
    <w:rsid w:val="00B95D1D"/>
    <w:rsid w:val="00BA0582"/>
    <w:rsid w:val="00BB2AFA"/>
    <w:rsid w:val="00C505E4"/>
    <w:rsid w:val="00C67EF4"/>
    <w:rsid w:val="00C72CB8"/>
    <w:rsid w:val="00C92C51"/>
    <w:rsid w:val="00CB6857"/>
    <w:rsid w:val="00D1783F"/>
    <w:rsid w:val="00D4366B"/>
    <w:rsid w:val="00D4608D"/>
    <w:rsid w:val="00D50816"/>
    <w:rsid w:val="00E02B12"/>
    <w:rsid w:val="00E107BC"/>
    <w:rsid w:val="00E92458"/>
    <w:rsid w:val="00E968CC"/>
    <w:rsid w:val="00EC2A2A"/>
    <w:rsid w:val="00F5785A"/>
    <w:rsid w:val="00FA3CF3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803C"/>
  <w15:docId w15:val="{A7DA79FF-3FDC-4A16-97A8-28146CA9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61B1F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1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7466"/>
    <w:pPr>
      <w:ind w:left="720"/>
      <w:contextualSpacing/>
    </w:pPr>
  </w:style>
  <w:style w:type="paragraph" w:styleId="SemEspaamento">
    <w:name w:val="No Spacing"/>
    <w:uiPriority w:val="1"/>
    <w:qFormat/>
    <w:rsid w:val="007912BB"/>
    <w:pPr>
      <w:spacing w:after="0" w:line="240" w:lineRule="auto"/>
    </w:pPr>
  </w:style>
  <w:style w:type="paragraph" w:customStyle="1" w:styleId="identifica">
    <w:name w:val="identifica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4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6826-F2D0-4443-8AAD-8BEA4C4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ATENDIMENTO SINDOJUS</cp:lastModifiedBy>
  <cp:revision>2</cp:revision>
  <cp:lastPrinted>2019-05-09T20:14:00Z</cp:lastPrinted>
  <dcterms:created xsi:type="dcterms:W3CDTF">2019-05-17T13:55:00Z</dcterms:created>
  <dcterms:modified xsi:type="dcterms:W3CDTF">2019-05-17T13:55:00Z</dcterms:modified>
</cp:coreProperties>
</file>